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4107A665" w:rsidR="00CF12B4" w:rsidRPr="00F26120" w:rsidRDefault="00E0642E" w:rsidP="00B66340">
      <w:pPr>
        <w:pStyle w:val="Heading1"/>
        <w:jc w:val="center"/>
      </w:pPr>
      <w:r w:rsidRPr="00A67B04">
        <w:rPr>
          <w:b/>
          <w:bCs/>
        </w:rPr>
        <w:t>Tiny Bites Snippet:</w:t>
      </w:r>
      <w:r>
        <w:t xml:space="preserve"> </w:t>
      </w:r>
      <w:r w:rsidR="00B66340" w:rsidRPr="00293D90">
        <w:t>How do I tell if my child is hungry or full?</w:t>
      </w:r>
      <w:r w:rsidR="004008A9">
        <w:t xml:space="preserve"> </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016FF2">
            <w:pPr>
              <w:rPr>
                <w:b/>
                <w:bCs/>
              </w:rPr>
            </w:pPr>
          </w:p>
          <w:p w14:paraId="3567BA98" w14:textId="1A5E5A45" w:rsidR="000479AC" w:rsidRPr="004D5CA5" w:rsidRDefault="000479AC" w:rsidP="000479AC">
            <w:pPr>
              <w:jc w:val="center"/>
              <w:rPr>
                <w:color w:val="002060"/>
              </w:rPr>
            </w:pPr>
            <w:r w:rsidRPr="004D5CA5">
              <w:rPr>
                <w:b/>
                <w:bCs/>
                <w:color w:val="002060"/>
              </w:rPr>
              <w:t xml:space="preserve">Option </w:t>
            </w:r>
            <w:r w:rsidR="00016FF2">
              <w:rPr>
                <w:b/>
                <w:bCs/>
                <w:color w:val="002060"/>
              </w:rPr>
              <w:t>2</w:t>
            </w:r>
          </w:p>
          <w:p w14:paraId="676E29D7" w14:textId="4F9BD430" w:rsidR="000479AC" w:rsidRDefault="000479AC" w:rsidP="000479AC">
            <w:pPr>
              <w:jc w:val="center"/>
            </w:pPr>
            <w:r>
              <w:t xml:space="preserve">Word document (with modifiable text) – click </w:t>
            </w:r>
            <w:hyperlink w:anchor="Option_2" w:history="1">
              <w:r w:rsidRPr="000479AC">
                <w:rPr>
                  <w:rStyle w:val="Hyperlink"/>
                </w:rPr>
                <w:t>here.</w:t>
              </w:r>
            </w:hyperlink>
          </w:p>
          <w:p w14:paraId="08480808" w14:textId="79E5B457" w:rsidR="000479AC" w:rsidRDefault="000479AC" w:rsidP="000479AC">
            <w:pPr>
              <w:jc w:val="center"/>
              <w:rPr>
                <w:b/>
                <w:bCs/>
              </w:rPr>
            </w:pPr>
          </w:p>
          <w:p w14:paraId="4E68D619" w14:textId="633A92DF" w:rsidR="000479AC" w:rsidRDefault="000479AC" w:rsidP="000479AC">
            <w:pPr>
              <w:jc w:val="center"/>
              <w:rPr>
                <w:color w:val="002060"/>
              </w:rPr>
            </w:pPr>
            <w:r w:rsidRPr="004D5CA5">
              <w:rPr>
                <w:b/>
                <w:bCs/>
                <w:color w:val="002060"/>
              </w:rPr>
              <w:t xml:space="preserve">Option </w:t>
            </w:r>
            <w:r w:rsidR="00016FF2">
              <w:rPr>
                <w:b/>
                <w:bCs/>
                <w:color w:val="002060"/>
              </w:rPr>
              <w:t>3</w:t>
            </w:r>
          </w:p>
          <w:p w14:paraId="26EA69F4" w14:textId="2AAD6670" w:rsidR="000479AC" w:rsidRDefault="000479AC" w:rsidP="000479AC">
            <w:pPr>
              <w:jc w:val="center"/>
            </w:pPr>
            <w:r>
              <w:t xml:space="preserve">Create Your Own (with modifiable text) click </w:t>
            </w:r>
            <w:hyperlink w:anchor="Option_3" w:history="1">
              <w:r w:rsidRPr="000479AC">
                <w:rPr>
                  <w:rStyle w:val="Hyperlink"/>
                </w:rPr>
                <w:t>here</w:t>
              </w:r>
            </w:hyperlink>
            <w:r>
              <w:t>.</w:t>
            </w:r>
          </w:p>
          <w:p w14:paraId="4B0B048C" w14:textId="6E970E10" w:rsidR="001D35DC" w:rsidRDefault="00E56F82" w:rsidP="00DA6F52">
            <w:pPr>
              <w:jc w:val="center"/>
            </w:pPr>
            <w:r w:rsidRPr="00810CAA">
              <w:rPr>
                <w:b/>
                <w:bCs/>
                <w:noProof/>
              </w:rPr>
              <w:drawing>
                <wp:anchor distT="0" distB="0" distL="114300" distR="114300" simplePos="0" relativeHeight="251658240" behindDoc="1" locked="0" layoutInCell="1" allowOverlap="1" wp14:anchorId="34035FC5" wp14:editId="04BE3124">
                  <wp:simplePos x="0" y="0"/>
                  <wp:positionH relativeFrom="column">
                    <wp:posOffset>2193925</wp:posOffset>
                  </wp:positionH>
                  <wp:positionV relativeFrom="paragraph">
                    <wp:posOffset>74295</wp:posOffset>
                  </wp:positionV>
                  <wp:extent cx="1510665" cy="1962150"/>
                  <wp:effectExtent l="0" t="0" r="0" b="0"/>
                  <wp:wrapTight wrapText="bothSides">
                    <wp:wrapPolygon edited="0">
                      <wp:start x="0" y="0"/>
                      <wp:lineTo x="0" y="21390"/>
                      <wp:lineTo x="21246" y="21390"/>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980" b="12434"/>
                          <a:stretch/>
                        </pic:blipFill>
                        <pic:spPr bwMode="auto">
                          <a:xfrm>
                            <a:off x="0" y="0"/>
                            <a:ext cx="1510665" cy="1962150"/>
                          </a:xfrm>
                          <a:prstGeom prst="rect">
                            <a:avLst/>
                          </a:prstGeom>
                          <a:noFill/>
                          <a:ln w="12700" cap="flat" cmpd="sng" algn="ctr">
                            <a:noFill/>
                            <a:prstDash val="sysDash"/>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8A678" w14:textId="7DD405C7" w:rsidR="007655A1" w:rsidRDefault="007655A1" w:rsidP="001D35DC">
            <w:pPr>
              <w:jc w:val="center"/>
            </w:pPr>
          </w:p>
          <w:p w14:paraId="7F6E197B" w14:textId="77777777"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0F3387A1" w:rsidR="75409B46" w:rsidRDefault="00525F7E" w:rsidP="75409B46">
            <w:r w:rsidRPr="0039756B">
              <w:rPr>
                <w:noProof/>
              </w:rPr>
              <w:drawing>
                <wp:inline distT="0" distB="0" distL="0" distR="0" wp14:anchorId="46E6DD2A" wp14:editId="21BF7E82">
                  <wp:extent cx="3320415" cy="469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0415" cy="4695825"/>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37AC29E7" w14:textId="70A165B0" w:rsidR="00262782" w:rsidRPr="00A65228" w:rsidRDefault="00A65228" w:rsidP="009304BD">
            <w:pPr>
              <w:rPr>
                <w:sz w:val="28"/>
                <w:szCs w:val="28"/>
              </w:rPr>
            </w:pPr>
            <w:hyperlink r:id="rId12" w:history="1">
              <w:r w:rsidRPr="00A65228">
                <w:rPr>
                  <w:rStyle w:val="Hyperlink"/>
                  <w:sz w:val="28"/>
                  <w:szCs w:val="28"/>
                </w:rPr>
                <w:t>https://www.goodforkids.nsw.gov.au/media/2970/snippet-4-responding-to-cues-not-pressuring-to-eat-pdf.pdf</w:t>
              </w:r>
            </w:hyperlink>
          </w:p>
          <w:p w14:paraId="321EEB17" w14:textId="77777777" w:rsidR="00A65228" w:rsidRDefault="00A65228"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B06A6BB" w14:textId="39456C51" w:rsidR="001E5FC7" w:rsidRDefault="001E5FC7">
      <w:pPr>
        <w:rPr>
          <w:rFonts w:asciiTheme="majorHAnsi" w:eastAsiaTheme="majorEastAsia" w:hAnsiTheme="majorHAnsi" w:cstheme="majorBidi"/>
          <w:b/>
          <w:bCs/>
          <w:color w:val="002060"/>
          <w:sz w:val="24"/>
          <w:szCs w:val="24"/>
        </w:rPr>
      </w:pPr>
    </w:p>
    <w:p w14:paraId="4607089F" w14:textId="77777777" w:rsidR="00FE7BD0" w:rsidRDefault="00FE7BD0"/>
    <w:p w14:paraId="18860A25" w14:textId="6B8DE780"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016FF2">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25EB6967" w:rsidR="00A36D61" w:rsidRDefault="00027A51" w:rsidP="00A36D61">
            <w:r w:rsidRPr="00A61AC9">
              <w:rPr>
                <w:noProof/>
              </w:rPr>
              <w:drawing>
                <wp:inline distT="0" distB="0" distL="0" distR="0" wp14:anchorId="53374891" wp14:editId="0AE7CCB4">
                  <wp:extent cx="3482722" cy="4946506"/>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3299" cy="4961529"/>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4C7008DD" w14:textId="0AAF2014" w:rsidR="00205D3C" w:rsidRPr="003B0A7E" w:rsidRDefault="003B0A7E" w:rsidP="002F323B">
            <w:pPr>
              <w:rPr>
                <w:sz w:val="28"/>
                <w:szCs w:val="28"/>
              </w:rPr>
            </w:pPr>
            <w:hyperlink r:id="rId15" w:history="1">
              <w:r w:rsidRPr="003B0A7E">
                <w:rPr>
                  <w:rStyle w:val="Hyperlink"/>
                  <w:sz w:val="28"/>
                  <w:szCs w:val="28"/>
                </w:rPr>
                <w:t>https://www.goodforkids.nsw.gov.au/media/2971/snippet-4-responding-to-cues-not-pressuring-to-eat-word-doc.docx</w:t>
              </w:r>
            </w:hyperlink>
          </w:p>
          <w:p w14:paraId="736FB6D9" w14:textId="77777777" w:rsidR="003B0A7E" w:rsidRDefault="003B0A7E" w:rsidP="002F323B">
            <w:pPr>
              <w:rPr>
                <w:b/>
                <w:bCs/>
              </w:rPr>
            </w:pPr>
          </w:p>
          <w:p w14:paraId="047AF96E" w14:textId="2F293FBE"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3E3A44B6" w14:textId="4821087D" w:rsidR="007D5F18" w:rsidRPr="00F26120" w:rsidRDefault="007D5F18" w:rsidP="007D5F18">
      <w:pPr>
        <w:pStyle w:val="Heading2"/>
        <w:rPr>
          <w:b/>
          <w:bCs/>
          <w:color w:val="002060"/>
          <w:sz w:val="24"/>
          <w:szCs w:val="24"/>
        </w:rPr>
      </w:pPr>
      <w:bookmarkStart w:id="3" w:name="Option_3"/>
      <w:bookmarkEnd w:id="3"/>
      <w:r w:rsidRPr="00F26120">
        <w:rPr>
          <w:b/>
          <w:bCs/>
          <w:color w:val="002060"/>
          <w:sz w:val="24"/>
          <w:szCs w:val="24"/>
        </w:rPr>
        <w:lastRenderedPageBreak/>
        <w:t xml:space="preserve">Option </w:t>
      </w:r>
      <w:r w:rsidR="00016FF2">
        <w:rPr>
          <w:b/>
          <w:bCs/>
          <w:color w:val="002060"/>
          <w:sz w:val="24"/>
          <w:szCs w:val="24"/>
        </w:rPr>
        <w:t>3</w:t>
      </w:r>
      <w:r w:rsidRPr="00F26120">
        <w:rPr>
          <w:b/>
          <w:bCs/>
          <w:color w:val="002060"/>
          <w:sz w:val="24"/>
          <w:szCs w:val="24"/>
        </w:rPr>
        <w:t xml:space="preserve"> – Create Your Own</w:t>
      </w:r>
    </w:p>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10BEF3DA"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w:t>
            </w:r>
            <w:r w:rsidR="0017260E">
              <w:t xml:space="preserve">children to try new foods without pressure, </w:t>
            </w:r>
            <w:r w:rsidR="007A377C">
              <w:t>or in responding to cues</w:t>
            </w:r>
            <w:r w:rsidR="00EF3EB7">
              <w:t xml:space="preserve">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5F03F7" w14:paraId="0B56B763" w14:textId="77777777" w:rsidTr="00C95492">
        <w:trPr>
          <w:trHeight w:val="2117"/>
        </w:trPr>
        <w:tc>
          <w:tcPr>
            <w:tcW w:w="2263" w:type="dxa"/>
          </w:tcPr>
          <w:p w14:paraId="7618E9F5" w14:textId="70F26D7E" w:rsidR="005F03F7" w:rsidRPr="00B223A3" w:rsidRDefault="005F03F7" w:rsidP="005F03F7">
            <w:r>
              <w:t xml:space="preserve">Infants Corner:  </w:t>
            </w:r>
            <w:r w:rsidRPr="00033A17">
              <w:t>How do I tell if my child is hungry or full?</w:t>
            </w:r>
          </w:p>
        </w:tc>
        <w:tc>
          <w:tcPr>
            <w:tcW w:w="6096" w:type="dxa"/>
          </w:tcPr>
          <w:p w14:paraId="2A2C1AF4" w14:textId="77777777" w:rsidR="005F03F7" w:rsidRPr="00F258EB" w:rsidRDefault="005F03F7" w:rsidP="005F03F7">
            <w:pPr>
              <w:spacing w:line="276" w:lineRule="auto"/>
              <w:jc w:val="both"/>
              <w:rPr>
                <w:noProof/>
                <w:sz w:val="24"/>
                <w:szCs w:val="24"/>
              </w:rPr>
            </w:pPr>
            <w:r w:rsidRPr="00F258EB">
              <w:rPr>
                <w:b/>
                <w:bCs/>
                <w:noProof/>
                <w:sz w:val="24"/>
                <w:szCs w:val="24"/>
              </w:rPr>
              <w:t>Did you know that children can tell when they’re hungry or full?</w:t>
            </w:r>
            <w:r w:rsidRPr="00F258EB">
              <w:rPr>
                <w:noProof/>
                <w:sz w:val="24"/>
                <w:szCs w:val="24"/>
              </w:rPr>
              <w:t xml:space="preserve"> You may have noticed some of your own child’s signals! They might close their mouth &amp; turn their head away when full. Click </w:t>
            </w:r>
            <w:hyperlink r:id="rId16" w:history="1">
              <w:r w:rsidRPr="005D70E1">
                <w:rPr>
                  <w:rStyle w:val="Hyperlink"/>
                  <w:b/>
                  <w:bCs/>
                  <w:noProof/>
                  <w:color w:val="214D89"/>
                  <w:sz w:val="24"/>
                  <w:szCs w:val="24"/>
                </w:rPr>
                <w:t>here</w:t>
              </w:r>
            </w:hyperlink>
            <w:r w:rsidRPr="00F258EB">
              <w:rPr>
                <w:noProof/>
                <w:sz w:val="24"/>
                <w:szCs w:val="24"/>
              </w:rPr>
              <w:t xml:space="preserve"> for more information. Looking for &amp; responding to these signals supports children to listen to their bodies, build a positive relationship with food &amp; can mean less overeating later in life. </w:t>
            </w:r>
          </w:p>
          <w:p w14:paraId="7912DA9A" w14:textId="77777777" w:rsidR="005F03F7" w:rsidRPr="00F258EB" w:rsidRDefault="005F03F7" w:rsidP="005F03F7">
            <w:pPr>
              <w:spacing w:line="276" w:lineRule="auto"/>
              <w:rPr>
                <w:noProof/>
                <w:sz w:val="24"/>
                <w:szCs w:val="24"/>
              </w:rPr>
            </w:pPr>
          </w:p>
          <w:p w14:paraId="63594F96" w14:textId="77777777" w:rsidR="005F03F7" w:rsidRPr="00F258EB" w:rsidRDefault="005F03F7" w:rsidP="005F03F7">
            <w:pPr>
              <w:spacing w:line="276" w:lineRule="auto"/>
              <w:rPr>
                <w:noProof/>
                <w:sz w:val="24"/>
                <w:szCs w:val="24"/>
              </w:rPr>
            </w:pPr>
            <w:r w:rsidRPr="00F258EB">
              <w:rPr>
                <w:noProof/>
                <w:sz w:val="24"/>
                <w:szCs w:val="24"/>
              </w:rPr>
              <w:t xml:space="preserve">Pushing children to eat can: </w:t>
            </w:r>
          </w:p>
          <w:p w14:paraId="744F2141" w14:textId="77777777" w:rsidR="005F03F7" w:rsidRPr="00F258EB" w:rsidRDefault="005F03F7" w:rsidP="005F03F7">
            <w:pPr>
              <w:pStyle w:val="ListParagraph"/>
              <w:numPr>
                <w:ilvl w:val="0"/>
                <w:numId w:val="26"/>
              </w:numPr>
              <w:spacing w:line="276" w:lineRule="auto"/>
              <w:rPr>
                <w:noProof/>
                <w:sz w:val="24"/>
                <w:szCs w:val="24"/>
              </w:rPr>
            </w:pPr>
            <w:r w:rsidRPr="00F258EB">
              <w:rPr>
                <w:b/>
                <w:bCs/>
                <w:noProof/>
                <w:sz w:val="24"/>
                <w:szCs w:val="24"/>
              </w:rPr>
              <w:t>Reduce their appetite</w:t>
            </w:r>
            <w:r w:rsidRPr="00F258EB">
              <w:rPr>
                <w:noProof/>
                <w:sz w:val="24"/>
                <w:szCs w:val="24"/>
              </w:rPr>
              <w:t xml:space="preserve"> &amp; </w:t>
            </w:r>
            <w:r w:rsidRPr="00F258EB">
              <w:rPr>
                <w:b/>
                <w:bCs/>
                <w:noProof/>
                <w:sz w:val="24"/>
                <w:szCs w:val="24"/>
              </w:rPr>
              <w:t>willingness to eat</w:t>
            </w:r>
          </w:p>
          <w:p w14:paraId="1ABBACCE" w14:textId="77777777" w:rsidR="005F03F7" w:rsidRPr="00F258EB" w:rsidRDefault="005F03F7" w:rsidP="005F03F7">
            <w:pPr>
              <w:pStyle w:val="ListParagraph"/>
              <w:numPr>
                <w:ilvl w:val="0"/>
                <w:numId w:val="26"/>
              </w:numPr>
              <w:spacing w:line="276" w:lineRule="auto"/>
              <w:rPr>
                <w:noProof/>
                <w:sz w:val="24"/>
                <w:szCs w:val="24"/>
              </w:rPr>
            </w:pPr>
            <w:r w:rsidRPr="00F258EB">
              <w:rPr>
                <w:noProof/>
                <w:sz w:val="24"/>
                <w:szCs w:val="24"/>
              </w:rPr>
              <w:t xml:space="preserve">Make them </w:t>
            </w:r>
            <w:r w:rsidRPr="00F258EB">
              <w:rPr>
                <w:b/>
                <w:bCs/>
                <w:noProof/>
                <w:sz w:val="24"/>
                <w:szCs w:val="24"/>
              </w:rPr>
              <w:t xml:space="preserve">anxious </w:t>
            </w:r>
          </w:p>
          <w:p w14:paraId="2CE12DC8" w14:textId="77777777" w:rsidR="005F03F7" w:rsidRPr="00F258EB" w:rsidRDefault="005F03F7" w:rsidP="005F03F7">
            <w:pPr>
              <w:pStyle w:val="ListParagraph"/>
              <w:numPr>
                <w:ilvl w:val="0"/>
                <w:numId w:val="26"/>
              </w:numPr>
              <w:spacing w:line="276" w:lineRule="auto"/>
              <w:rPr>
                <w:noProof/>
                <w:sz w:val="24"/>
                <w:szCs w:val="24"/>
              </w:rPr>
            </w:pPr>
            <w:r w:rsidRPr="00F258EB">
              <w:rPr>
                <w:noProof/>
                <w:sz w:val="24"/>
                <w:szCs w:val="24"/>
              </w:rPr>
              <w:t xml:space="preserve">May make </w:t>
            </w:r>
            <w:r w:rsidRPr="00F258EB">
              <w:rPr>
                <w:b/>
                <w:bCs/>
                <w:noProof/>
                <w:sz w:val="24"/>
                <w:szCs w:val="24"/>
              </w:rPr>
              <w:t>fussy eating</w:t>
            </w:r>
            <w:r w:rsidRPr="00F258EB">
              <w:rPr>
                <w:noProof/>
                <w:sz w:val="24"/>
                <w:szCs w:val="24"/>
              </w:rPr>
              <w:t xml:space="preserve"> worse</w:t>
            </w:r>
          </w:p>
          <w:p w14:paraId="55A62E6B" w14:textId="77777777" w:rsidR="005F03F7" w:rsidRDefault="005F03F7" w:rsidP="005F03F7">
            <w:pPr>
              <w:spacing w:line="276" w:lineRule="auto"/>
              <w:rPr>
                <w:noProof/>
                <w:sz w:val="24"/>
                <w:szCs w:val="24"/>
              </w:rPr>
            </w:pPr>
          </w:p>
          <w:p w14:paraId="634F93C3" w14:textId="77777777" w:rsidR="005F03F7" w:rsidRPr="00F258EB" w:rsidRDefault="005F03F7" w:rsidP="005F03F7">
            <w:pPr>
              <w:spacing w:line="276" w:lineRule="auto"/>
              <w:rPr>
                <w:noProof/>
                <w:sz w:val="24"/>
                <w:szCs w:val="24"/>
              </w:rPr>
            </w:pPr>
            <w:r w:rsidRPr="00F258EB">
              <w:rPr>
                <w:noProof/>
                <w:sz w:val="24"/>
                <w:szCs w:val="24"/>
              </w:rPr>
              <w:t xml:space="preserve">A helpful approach is to remember the role of the adult is to decide what foods are provided, and the child is to decide if &amp; how much they eat. Following this can mean </w:t>
            </w:r>
            <w:r w:rsidRPr="00F258EB">
              <w:rPr>
                <w:b/>
                <w:bCs/>
                <w:noProof/>
                <w:sz w:val="24"/>
                <w:szCs w:val="24"/>
              </w:rPr>
              <w:t>less stressful mealtimes</w:t>
            </w:r>
            <w:r w:rsidRPr="00F258EB">
              <w:rPr>
                <w:noProof/>
                <w:sz w:val="24"/>
                <w:szCs w:val="24"/>
              </w:rPr>
              <w:t xml:space="preserve">!  </w:t>
            </w:r>
          </w:p>
          <w:p w14:paraId="7EE49852" w14:textId="77777777" w:rsidR="005F03F7" w:rsidRPr="00F258EB" w:rsidRDefault="005F03F7" w:rsidP="005F03F7">
            <w:pPr>
              <w:spacing w:line="276" w:lineRule="auto"/>
              <w:rPr>
                <w:b/>
                <w:bCs/>
                <w:noProof/>
                <w:sz w:val="16"/>
                <w:szCs w:val="16"/>
              </w:rPr>
            </w:pPr>
          </w:p>
          <w:p w14:paraId="22B484FE" w14:textId="77777777" w:rsidR="005F03F7" w:rsidRPr="007170E0" w:rsidRDefault="005F03F7" w:rsidP="005F03F7">
            <w:pPr>
              <w:spacing w:line="276" w:lineRule="auto"/>
              <w:jc w:val="both"/>
              <w:rPr>
                <w:i/>
                <w:iCs/>
                <w:noProof/>
                <w:sz w:val="24"/>
                <w:szCs w:val="24"/>
              </w:rPr>
            </w:pPr>
            <w:r w:rsidRPr="007170E0">
              <w:rPr>
                <w:i/>
                <w:iCs/>
                <w:noProof/>
                <w:sz w:val="24"/>
                <w:szCs w:val="24"/>
                <w:highlight w:val="yellow"/>
              </w:rPr>
              <w:t>For a 2-5 year old, you may like to check in with them before &amp; after meals using the terms “hungry” &amp; “full”.  For more ideas on how to talk to toddlers about whether they’re hungry or full, click</w:t>
            </w:r>
            <w:r w:rsidRPr="0083501F">
              <w:rPr>
                <w:b/>
                <w:bCs/>
                <w:i/>
                <w:iCs/>
                <w:noProof/>
                <w:sz w:val="24"/>
                <w:szCs w:val="24"/>
                <w:highlight w:val="yellow"/>
              </w:rPr>
              <w:t xml:space="preserve"> </w:t>
            </w:r>
            <w:hyperlink r:id="rId17">
              <w:r w:rsidRPr="0083501F">
                <w:rPr>
                  <w:rStyle w:val="Hyperlink"/>
                  <w:b/>
                  <w:bCs/>
                  <w:i/>
                  <w:iCs/>
                  <w:noProof/>
                  <w:color w:val="214D88"/>
                  <w:sz w:val="24"/>
                  <w:szCs w:val="24"/>
                  <w:highlight w:val="yellow"/>
                </w:rPr>
                <w:t>here</w:t>
              </w:r>
            </w:hyperlink>
            <w:r w:rsidRPr="007170E0">
              <w:rPr>
                <w:i/>
                <w:iCs/>
                <w:noProof/>
                <w:sz w:val="24"/>
                <w:szCs w:val="24"/>
                <w:highlight w:val="yellow"/>
              </w:rPr>
              <w:t>.</w:t>
            </w:r>
            <w:r w:rsidRPr="007170E0">
              <w:rPr>
                <w:i/>
                <w:iCs/>
                <w:noProof/>
                <w:sz w:val="24"/>
                <w:szCs w:val="24"/>
              </w:rPr>
              <w:t xml:space="preserve"> </w:t>
            </w:r>
          </w:p>
          <w:p w14:paraId="025EB9DA" w14:textId="77777777" w:rsidR="005F03F7" w:rsidRPr="00F258EB" w:rsidRDefault="005F03F7" w:rsidP="005F03F7">
            <w:pPr>
              <w:spacing w:line="276" w:lineRule="auto"/>
              <w:jc w:val="both"/>
              <w:rPr>
                <w:noProof/>
                <w:sz w:val="24"/>
                <w:szCs w:val="24"/>
              </w:rPr>
            </w:pPr>
          </w:p>
          <w:p w14:paraId="070C8ECE" w14:textId="77777777" w:rsidR="005F03F7" w:rsidRDefault="005F03F7" w:rsidP="005F03F7">
            <w:pPr>
              <w:spacing w:line="276" w:lineRule="auto"/>
              <w:jc w:val="both"/>
              <w:rPr>
                <w:noProof/>
                <w:sz w:val="24"/>
                <w:szCs w:val="24"/>
              </w:rPr>
            </w:pPr>
            <w:r w:rsidRPr="00F258EB">
              <w:rPr>
                <w:noProof/>
                <w:sz w:val="24"/>
                <w:szCs w:val="24"/>
              </w:rPr>
              <w:t xml:space="preserve">If a child shows signs they’re full, it’s best to  pack up the meal, without making any comments about any leftovers. Providing small portions &amp; popping leftovers in the fridge may help with food waste. If they’re still hungry during a meal, the adult can provide more of the meal. </w:t>
            </w:r>
            <w:r w:rsidRPr="00F258EB">
              <w:rPr>
                <w:b/>
                <w:bCs/>
                <w:noProof/>
                <w:sz w:val="24"/>
                <w:szCs w:val="24"/>
              </w:rPr>
              <w:t>The amount children eat will vary from day to day.</w:t>
            </w:r>
            <w:r w:rsidRPr="00F258EB">
              <w:rPr>
                <w:noProof/>
                <w:sz w:val="24"/>
                <w:szCs w:val="24"/>
              </w:rPr>
              <w:t xml:space="preserve">  </w:t>
            </w:r>
          </w:p>
          <w:p w14:paraId="07CF2792" w14:textId="77777777" w:rsidR="005F03F7" w:rsidRPr="00F258EB" w:rsidRDefault="005F03F7" w:rsidP="005F03F7">
            <w:pPr>
              <w:spacing w:line="276" w:lineRule="auto"/>
              <w:jc w:val="both"/>
              <w:rPr>
                <w:noProof/>
                <w:sz w:val="24"/>
                <w:szCs w:val="24"/>
              </w:rPr>
            </w:pPr>
          </w:p>
          <w:p w14:paraId="1859EB14" w14:textId="312DAF06" w:rsidR="005F03F7" w:rsidRPr="00B223A3" w:rsidRDefault="005F03F7" w:rsidP="005F03F7">
            <w:pPr>
              <w:spacing w:line="276" w:lineRule="auto"/>
              <w:jc w:val="both"/>
            </w:pPr>
            <w:r w:rsidRPr="00F258EB">
              <w:rPr>
                <w:noProof/>
                <w:sz w:val="24"/>
                <w:szCs w:val="24"/>
              </w:rPr>
              <w:t xml:space="preserve">At our service, educators respond to these hunger &amp; fullness signals during mealtimes &amp; support children to recognise these signs. We don’t pressure children to finish their food, </w:t>
            </w:r>
            <w:r w:rsidRPr="007873DA">
              <w:rPr>
                <w:noProof/>
                <w:sz w:val="24"/>
                <w:szCs w:val="24"/>
              </w:rPr>
              <w:t>rather, we support children to eat a variety of healthy foods by role modelling healthy eating, allowing children to explore new foods through touch, smell, &amp; taste, &amp; providing food-related activities</w:t>
            </w:r>
            <w:r w:rsidRPr="00F258EB">
              <w:rPr>
                <w:noProof/>
                <w:sz w:val="24"/>
                <w:szCs w:val="24"/>
              </w:rPr>
              <w:t xml:space="preserve">.  </w:t>
            </w:r>
            <w:r w:rsidRPr="00F258EB">
              <w:rPr>
                <w:i/>
                <w:iCs/>
                <w:noProof/>
                <w:sz w:val="24"/>
                <w:szCs w:val="24"/>
                <w:highlight w:val="yellow"/>
              </w:rPr>
              <w:t>&lt;insert other ways the service responds to children’s hunger &amp; fullness signals&gt;.</w:t>
            </w:r>
            <w:r w:rsidRPr="00F258EB">
              <w:rPr>
                <w:noProof/>
                <w:sz w:val="24"/>
                <w:szCs w:val="24"/>
              </w:rPr>
              <w:t xml:space="preserve"> </w:t>
            </w:r>
          </w:p>
        </w:tc>
        <w:tc>
          <w:tcPr>
            <w:tcW w:w="3118" w:type="dxa"/>
          </w:tcPr>
          <w:p w14:paraId="40A03D18" w14:textId="77777777" w:rsidR="005F03F7" w:rsidRDefault="005F03F7" w:rsidP="005F03F7">
            <w:r w:rsidRPr="00810CAA">
              <w:rPr>
                <w:b/>
                <w:bCs/>
                <w:noProof/>
              </w:rPr>
              <w:lastRenderedPageBreak/>
              <w:drawing>
                <wp:anchor distT="0" distB="0" distL="114300" distR="114300" simplePos="0" relativeHeight="251658241" behindDoc="1" locked="0" layoutInCell="1" allowOverlap="1" wp14:anchorId="6C288DD9" wp14:editId="6AD6C1DA">
                  <wp:simplePos x="0" y="0"/>
                  <wp:positionH relativeFrom="column">
                    <wp:posOffset>-6350</wp:posOffset>
                  </wp:positionH>
                  <wp:positionV relativeFrom="paragraph">
                    <wp:posOffset>194945</wp:posOffset>
                  </wp:positionV>
                  <wp:extent cx="1510665" cy="1962150"/>
                  <wp:effectExtent l="0" t="0" r="0" b="0"/>
                  <wp:wrapTight wrapText="bothSides">
                    <wp:wrapPolygon edited="0">
                      <wp:start x="0" y="0"/>
                      <wp:lineTo x="0" y="21390"/>
                      <wp:lineTo x="21246" y="21390"/>
                      <wp:lineTo x="212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980" b="12434"/>
                          <a:stretch/>
                        </pic:blipFill>
                        <pic:spPr bwMode="auto">
                          <a:xfrm>
                            <a:off x="0" y="0"/>
                            <a:ext cx="1510665" cy="1962150"/>
                          </a:xfrm>
                          <a:prstGeom prst="rect">
                            <a:avLst/>
                          </a:prstGeom>
                          <a:noFill/>
                          <a:ln w="12700" cap="flat" cmpd="sng" algn="ctr">
                            <a:noFill/>
                            <a:prstDash val="sysDash"/>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49257" w14:textId="77777777" w:rsidR="005F03F7" w:rsidRDefault="005F03F7" w:rsidP="005F03F7"/>
          <w:p w14:paraId="6D7EFE87" w14:textId="77777777" w:rsidR="005F03F7" w:rsidRDefault="005F03F7" w:rsidP="005F03F7"/>
          <w:p w14:paraId="3BF7629A" w14:textId="77777777" w:rsidR="005F03F7" w:rsidRDefault="005F03F7" w:rsidP="005F03F7"/>
          <w:p w14:paraId="1C8E749B" w14:textId="77777777" w:rsidR="005F03F7" w:rsidRDefault="005F03F7" w:rsidP="005F03F7"/>
          <w:p w14:paraId="201C1CCD" w14:textId="77777777" w:rsidR="005F03F7" w:rsidRDefault="005F03F7" w:rsidP="005F03F7"/>
          <w:p w14:paraId="7189AAAE" w14:textId="77777777" w:rsidR="005F03F7" w:rsidRDefault="005F03F7" w:rsidP="005F03F7"/>
          <w:p w14:paraId="4965B69E" w14:textId="77777777" w:rsidR="005F03F7" w:rsidRDefault="005F03F7" w:rsidP="005F03F7"/>
          <w:p w14:paraId="5E1BAA55" w14:textId="77777777" w:rsidR="005F03F7" w:rsidRDefault="005F03F7" w:rsidP="005F03F7"/>
          <w:p w14:paraId="66625E09" w14:textId="77777777" w:rsidR="005F03F7" w:rsidRDefault="005F03F7" w:rsidP="005F03F7"/>
          <w:p w14:paraId="66BE7355" w14:textId="77777777" w:rsidR="005F03F7" w:rsidRDefault="005F03F7" w:rsidP="005F03F7"/>
          <w:p w14:paraId="335B6B95" w14:textId="77777777" w:rsidR="005F03F7" w:rsidRDefault="005F03F7" w:rsidP="005F03F7"/>
          <w:p w14:paraId="553AF597" w14:textId="77777777" w:rsidR="005F03F7" w:rsidRDefault="005F03F7" w:rsidP="005F03F7"/>
          <w:p w14:paraId="51EC801D" w14:textId="77777777" w:rsidR="005F03F7" w:rsidRDefault="005F03F7" w:rsidP="005F03F7"/>
          <w:p w14:paraId="78FBC5B4" w14:textId="77777777" w:rsidR="005F03F7" w:rsidRDefault="005F03F7" w:rsidP="005F03F7"/>
          <w:p w14:paraId="6DDC7D2E" w14:textId="77777777" w:rsidR="005F03F7" w:rsidRDefault="005F03F7" w:rsidP="005F03F7"/>
          <w:p w14:paraId="3EBB320A" w14:textId="77777777" w:rsidR="005F03F7" w:rsidRDefault="005F03F7" w:rsidP="005F03F7"/>
          <w:p w14:paraId="2E7B8BDD" w14:textId="77777777" w:rsidR="005F03F7" w:rsidRDefault="005F03F7" w:rsidP="005F03F7"/>
          <w:p w14:paraId="54B17C25" w14:textId="77777777" w:rsidR="005F03F7" w:rsidRDefault="005F03F7" w:rsidP="005F03F7"/>
          <w:p w14:paraId="37F46FA2" w14:textId="77777777" w:rsidR="005F03F7" w:rsidRDefault="005F03F7" w:rsidP="005F03F7"/>
          <w:p w14:paraId="376B6BAD" w14:textId="77777777" w:rsidR="005F03F7" w:rsidRDefault="005F03F7" w:rsidP="005F03F7"/>
          <w:p w14:paraId="2F0E8CD0" w14:textId="77777777" w:rsidR="005F03F7" w:rsidRDefault="005F03F7" w:rsidP="005F03F7"/>
          <w:p w14:paraId="5C3CCD8B" w14:textId="77777777" w:rsidR="005F03F7" w:rsidRDefault="005F03F7" w:rsidP="005F03F7"/>
          <w:p w14:paraId="23A6405D" w14:textId="77777777" w:rsidR="005F03F7" w:rsidRDefault="005F03F7" w:rsidP="005F03F7"/>
          <w:p w14:paraId="3BFFF4B8" w14:textId="77777777" w:rsidR="005F03F7" w:rsidRDefault="005F03F7" w:rsidP="005F03F7"/>
          <w:p w14:paraId="655C14E0" w14:textId="77777777" w:rsidR="005F03F7" w:rsidRDefault="005F03F7" w:rsidP="005F03F7"/>
          <w:p w14:paraId="1899D402" w14:textId="77777777" w:rsidR="005F03F7" w:rsidRDefault="005F03F7" w:rsidP="005F03F7"/>
          <w:p w14:paraId="60670327" w14:textId="77777777" w:rsidR="005F03F7" w:rsidRDefault="005F03F7" w:rsidP="005F03F7"/>
          <w:p w14:paraId="6AF0D25F" w14:textId="77777777" w:rsidR="005F03F7" w:rsidRDefault="005F03F7" w:rsidP="005F03F7"/>
          <w:p w14:paraId="33C3733C" w14:textId="77777777" w:rsidR="005F03F7" w:rsidRDefault="005F03F7" w:rsidP="005F03F7"/>
          <w:p w14:paraId="0A78254C" w14:textId="77777777" w:rsidR="005F03F7" w:rsidRDefault="005F03F7" w:rsidP="005F03F7"/>
        </w:tc>
        <w:tc>
          <w:tcPr>
            <w:tcW w:w="2977" w:type="dxa"/>
          </w:tcPr>
          <w:p w14:paraId="3E3B7DD2" w14:textId="30803F2E" w:rsidR="005F03F7" w:rsidRDefault="005F03F7" w:rsidP="005F03F7">
            <w:r>
              <w:rPr>
                <w:noProof/>
                <w:color w:val="2B579A"/>
                <w:shd w:val="clear" w:color="auto" w:fill="E6E6E6"/>
              </w:rPr>
              <w:lastRenderedPageBreak/>
              <w:drawing>
                <wp:inline distT="0" distB="0" distL="0" distR="0" wp14:anchorId="4304A7C5" wp14:editId="24A5052A">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7703738E" w14:textId="77777777" w:rsidR="00641923" w:rsidRDefault="00641923"/>
    <w:sectPr w:rsidR="00641923" w:rsidSect="00CF12B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0F204" w14:textId="77777777" w:rsidR="001D2DDA" w:rsidRDefault="001D2DDA" w:rsidP="00CE77AA">
      <w:pPr>
        <w:spacing w:after="0" w:line="240" w:lineRule="auto"/>
      </w:pPr>
      <w:r>
        <w:separator/>
      </w:r>
    </w:p>
  </w:endnote>
  <w:endnote w:type="continuationSeparator" w:id="0">
    <w:p w14:paraId="50F1A72D" w14:textId="77777777" w:rsidR="001D2DDA" w:rsidRDefault="001D2DDA" w:rsidP="00CE77AA">
      <w:pPr>
        <w:spacing w:after="0" w:line="240" w:lineRule="auto"/>
      </w:pPr>
      <w:r>
        <w:continuationSeparator/>
      </w:r>
    </w:p>
  </w:endnote>
  <w:endnote w:type="continuationNotice" w:id="1">
    <w:p w14:paraId="6C9AAE23" w14:textId="77777777" w:rsidR="001D2DDA" w:rsidRDefault="001D2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8240"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BF69" w14:textId="77777777" w:rsidR="001D2DDA" w:rsidRDefault="001D2DDA" w:rsidP="00CE77AA">
      <w:pPr>
        <w:spacing w:after="0" w:line="240" w:lineRule="auto"/>
      </w:pPr>
      <w:r>
        <w:separator/>
      </w:r>
    </w:p>
  </w:footnote>
  <w:footnote w:type="continuationSeparator" w:id="0">
    <w:p w14:paraId="771C50F7" w14:textId="77777777" w:rsidR="001D2DDA" w:rsidRDefault="001D2DDA" w:rsidP="00CE77AA">
      <w:pPr>
        <w:spacing w:after="0" w:line="240" w:lineRule="auto"/>
      </w:pPr>
      <w:r>
        <w:continuationSeparator/>
      </w:r>
    </w:p>
  </w:footnote>
  <w:footnote w:type="continuationNotice" w:id="1">
    <w:p w14:paraId="05B0E2A5" w14:textId="77777777" w:rsidR="001D2DDA" w:rsidRDefault="001D2D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F23AE5"/>
    <w:multiLevelType w:val="hybridMultilevel"/>
    <w:tmpl w:val="A5927734"/>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5"/>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 w:numId="26" w16cid:durableId="1793203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16FF2"/>
    <w:rsid w:val="00020A97"/>
    <w:rsid w:val="00025424"/>
    <w:rsid w:val="00026CD4"/>
    <w:rsid w:val="0002798C"/>
    <w:rsid w:val="00027A51"/>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5CB2"/>
    <w:rsid w:val="000E78BA"/>
    <w:rsid w:val="000F0EBA"/>
    <w:rsid w:val="000F34AD"/>
    <w:rsid w:val="00100A84"/>
    <w:rsid w:val="0010549E"/>
    <w:rsid w:val="00105BFF"/>
    <w:rsid w:val="00113FF2"/>
    <w:rsid w:val="00120772"/>
    <w:rsid w:val="0012304A"/>
    <w:rsid w:val="0012346E"/>
    <w:rsid w:val="00125E4B"/>
    <w:rsid w:val="001355C6"/>
    <w:rsid w:val="00136CEE"/>
    <w:rsid w:val="001373B3"/>
    <w:rsid w:val="00140F2C"/>
    <w:rsid w:val="00145E7E"/>
    <w:rsid w:val="0014617C"/>
    <w:rsid w:val="00157423"/>
    <w:rsid w:val="00162C63"/>
    <w:rsid w:val="00170BA0"/>
    <w:rsid w:val="0017260E"/>
    <w:rsid w:val="00176FE3"/>
    <w:rsid w:val="001779E6"/>
    <w:rsid w:val="00180A26"/>
    <w:rsid w:val="00180A4E"/>
    <w:rsid w:val="0018326F"/>
    <w:rsid w:val="00185A27"/>
    <w:rsid w:val="001936FB"/>
    <w:rsid w:val="00197ACB"/>
    <w:rsid w:val="001A645A"/>
    <w:rsid w:val="001B4B27"/>
    <w:rsid w:val="001C24D3"/>
    <w:rsid w:val="001C2BA5"/>
    <w:rsid w:val="001C3160"/>
    <w:rsid w:val="001D09DE"/>
    <w:rsid w:val="001D2DDA"/>
    <w:rsid w:val="001D35DC"/>
    <w:rsid w:val="001D51D8"/>
    <w:rsid w:val="001D6030"/>
    <w:rsid w:val="001E104C"/>
    <w:rsid w:val="001E1AB4"/>
    <w:rsid w:val="001E45E6"/>
    <w:rsid w:val="001E5FC7"/>
    <w:rsid w:val="001E782E"/>
    <w:rsid w:val="001E7DEF"/>
    <w:rsid w:val="001F1953"/>
    <w:rsid w:val="001F2B16"/>
    <w:rsid w:val="001F77BF"/>
    <w:rsid w:val="00205D3C"/>
    <w:rsid w:val="00206DFF"/>
    <w:rsid w:val="00206E06"/>
    <w:rsid w:val="002112AE"/>
    <w:rsid w:val="00213BAF"/>
    <w:rsid w:val="00214161"/>
    <w:rsid w:val="00220AB2"/>
    <w:rsid w:val="00223AD5"/>
    <w:rsid w:val="0023061D"/>
    <w:rsid w:val="00235CF3"/>
    <w:rsid w:val="00237C29"/>
    <w:rsid w:val="002428FD"/>
    <w:rsid w:val="002467D0"/>
    <w:rsid w:val="0025012F"/>
    <w:rsid w:val="00250150"/>
    <w:rsid w:val="002612A9"/>
    <w:rsid w:val="00261D9F"/>
    <w:rsid w:val="00262782"/>
    <w:rsid w:val="00264908"/>
    <w:rsid w:val="00265F3A"/>
    <w:rsid w:val="002707E5"/>
    <w:rsid w:val="00270A71"/>
    <w:rsid w:val="00271328"/>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C41EF"/>
    <w:rsid w:val="002D15A9"/>
    <w:rsid w:val="002D2855"/>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3323B"/>
    <w:rsid w:val="00333B28"/>
    <w:rsid w:val="00334F83"/>
    <w:rsid w:val="0033596A"/>
    <w:rsid w:val="00341333"/>
    <w:rsid w:val="00342CC5"/>
    <w:rsid w:val="0034372B"/>
    <w:rsid w:val="0034594A"/>
    <w:rsid w:val="003466A7"/>
    <w:rsid w:val="00347F98"/>
    <w:rsid w:val="00352C49"/>
    <w:rsid w:val="003549CB"/>
    <w:rsid w:val="00355D81"/>
    <w:rsid w:val="003614E3"/>
    <w:rsid w:val="00364789"/>
    <w:rsid w:val="00367940"/>
    <w:rsid w:val="00367E8C"/>
    <w:rsid w:val="00373FE1"/>
    <w:rsid w:val="00377E2F"/>
    <w:rsid w:val="003875EC"/>
    <w:rsid w:val="00394D4C"/>
    <w:rsid w:val="00395884"/>
    <w:rsid w:val="003A090B"/>
    <w:rsid w:val="003A37E4"/>
    <w:rsid w:val="003A40F7"/>
    <w:rsid w:val="003A45E7"/>
    <w:rsid w:val="003B0A7E"/>
    <w:rsid w:val="003B2BE6"/>
    <w:rsid w:val="003B34C1"/>
    <w:rsid w:val="003C2987"/>
    <w:rsid w:val="003C465D"/>
    <w:rsid w:val="003C672D"/>
    <w:rsid w:val="003C6A78"/>
    <w:rsid w:val="003D1113"/>
    <w:rsid w:val="003D4614"/>
    <w:rsid w:val="003D51B5"/>
    <w:rsid w:val="003E3A2B"/>
    <w:rsid w:val="004008A9"/>
    <w:rsid w:val="00400A5E"/>
    <w:rsid w:val="00402555"/>
    <w:rsid w:val="00407204"/>
    <w:rsid w:val="00424E41"/>
    <w:rsid w:val="00430625"/>
    <w:rsid w:val="00431A92"/>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780F"/>
    <w:rsid w:val="004C0AF7"/>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5F7E"/>
    <w:rsid w:val="00526ADB"/>
    <w:rsid w:val="00530A7E"/>
    <w:rsid w:val="005316D1"/>
    <w:rsid w:val="005324BB"/>
    <w:rsid w:val="00537BD9"/>
    <w:rsid w:val="00546B18"/>
    <w:rsid w:val="00554C5A"/>
    <w:rsid w:val="0055507E"/>
    <w:rsid w:val="00556774"/>
    <w:rsid w:val="005573C7"/>
    <w:rsid w:val="00557534"/>
    <w:rsid w:val="005579DD"/>
    <w:rsid w:val="005619E2"/>
    <w:rsid w:val="00562B37"/>
    <w:rsid w:val="00565632"/>
    <w:rsid w:val="00567CC6"/>
    <w:rsid w:val="00572BCC"/>
    <w:rsid w:val="0057427C"/>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7F9A"/>
    <w:rsid w:val="005D09F7"/>
    <w:rsid w:val="005D269C"/>
    <w:rsid w:val="005D2E19"/>
    <w:rsid w:val="005E3574"/>
    <w:rsid w:val="005F03F7"/>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2F53"/>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2B51"/>
    <w:rsid w:val="006F374A"/>
    <w:rsid w:val="006F3F32"/>
    <w:rsid w:val="006F7F18"/>
    <w:rsid w:val="00704777"/>
    <w:rsid w:val="007132B5"/>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5945"/>
    <w:rsid w:val="00786149"/>
    <w:rsid w:val="0078719E"/>
    <w:rsid w:val="00787B53"/>
    <w:rsid w:val="007956E1"/>
    <w:rsid w:val="007A1168"/>
    <w:rsid w:val="007A225E"/>
    <w:rsid w:val="007A377C"/>
    <w:rsid w:val="007A4A6F"/>
    <w:rsid w:val="007A5FBC"/>
    <w:rsid w:val="007A66F8"/>
    <w:rsid w:val="007A7F7A"/>
    <w:rsid w:val="007B45A9"/>
    <w:rsid w:val="007C0EA8"/>
    <w:rsid w:val="007C7081"/>
    <w:rsid w:val="007D2F37"/>
    <w:rsid w:val="007D34DE"/>
    <w:rsid w:val="007D3FC9"/>
    <w:rsid w:val="007D46B7"/>
    <w:rsid w:val="007D4927"/>
    <w:rsid w:val="007D5F18"/>
    <w:rsid w:val="007E0A97"/>
    <w:rsid w:val="007E0C7B"/>
    <w:rsid w:val="007E12C9"/>
    <w:rsid w:val="007E7C07"/>
    <w:rsid w:val="00800EEB"/>
    <w:rsid w:val="008026D4"/>
    <w:rsid w:val="008043F1"/>
    <w:rsid w:val="00810D78"/>
    <w:rsid w:val="00813E31"/>
    <w:rsid w:val="00816F12"/>
    <w:rsid w:val="008246D6"/>
    <w:rsid w:val="0082761C"/>
    <w:rsid w:val="00827F90"/>
    <w:rsid w:val="00830ACE"/>
    <w:rsid w:val="0083501F"/>
    <w:rsid w:val="008356C2"/>
    <w:rsid w:val="00836C83"/>
    <w:rsid w:val="00842139"/>
    <w:rsid w:val="00842216"/>
    <w:rsid w:val="008462B6"/>
    <w:rsid w:val="008526C3"/>
    <w:rsid w:val="0085350F"/>
    <w:rsid w:val="0085410B"/>
    <w:rsid w:val="00854529"/>
    <w:rsid w:val="00870B39"/>
    <w:rsid w:val="008905F1"/>
    <w:rsid w:val="00891E8C"/>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58E7"/>
    <w:rsid w:val="008F76FD"/>
    <w:rsid w:val="00904016"/>
    <w:rsid w:val="00912A43"/>
    <w:rsid w:val="00912BC8"/>
    <w:rsid w:val="009130E4"/>
    <w:rsid w:val="00913A3E"/>
    <w:rsid w:val="00923D47"/>
    <w:rsid w:val="00924409"/>
    <w:rsid w:val="00924AF2"/>
    <w:rsid w:val="00925AB9"/>
    <w:rsid w:val="00926A7A"/>
    <w:rsid w:val="009304BD"/>
    <w:rsid w:val="009354D2"/>
    <w:rsid w:val="00943ABD"/>
    <w:rsid w:val="00944638"/>
    <w:rsid w:val="0094515E"/>
    <w:rsid w:val="00964EBD"/>
    <w:rsid w:val="00966518"/>
    <w:rsid w:val="00970EC7"/>
    <w:rsid w:val="00974EB1"/>
    <w:rsid w:val="00975C36"/>
    <w:rsid w:val="009770BC"/>
    <w:rsid w:val="00981FBA"/>
    <w:rsid w:val="009878FE"/>
    <w:rsid w:val="009900B1"/>
    <w:rsid w:val="00991C84"/>
    <w:rsid w:val="009A4630"/>
    <w:rsid w:val="009A4C3C"/>
    <w:rsid w:val="009A71CC"/>
    <w:rsid w:val="009B7CEB"/>
    <w:rsid w:val="009C1F16"/>
    <w:rsid w:val="009D06CA"/>
    <w:rsid w:val="009D37BE"/>
    <w:rsid w:val="009D44AC"/>
    <w:rsid w:val="009D525A"/>
    <w:rsid w:val="009E4B5F"/>
    <w:rsid w:val="009F0232"/>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0281"/>
    <w:rsid w:val="00A45515"/>
    <w:rsid w:val="00A471F6"/>
    <w:rsid w:val="00A5026B"/>
    <w:rsid w:val="00A52748"/>
    <w:rsid w:val="00A55815"/>
    <w:rsid w:val="00A5747C"/>
    <w:rsid w:val="00A6080A"/>
    <w:rsid w:val="00A60E61"/>
    <w:rsid w:val="00A62145"/>
    <w:rsid w:val="00A650E5"/>
    <w:rsid w:val="00A65228"/>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66340"/>
    <w:rsid w:val="00B70C9E"/>
    <w:rsid w:val="00B71221"/>
    <w:rsid w:val="00B762C3"/>
    <w:rsid w:val="00B80210"/>
    <w:rsid w:val="00B82CBE"/>
    <w:rsid w:val="00B8490E"/>
    <w:rsid w:val="00B9194D"/>
    <w:rsid w:val="00B92126"/>
    <w:rsid w:val="00B952F5"/>
    <w:rsid w:val="00BA1CEE"/>
    <w:rsid w:val="00BA256E"/>
    <w:rsid w:val="00BA2B15"/>
    <w:rsid w:val="00BA2DC0"/>
    <w:rsid w:val="00BA3B32"/>
    <w:rsid w:val="00BB22E8"/>
    <w:rsid w:val="00BB40C1"/>
    <w:rsid w:val="00BB4DB0"/>
    <w:rsid w:val="00BB51D0"/>
    <w:rsid w:val="00BB7477"/>
    <w:rsid w:val="00BC0AE1"/>
    <w:rsid w:val="00BC1C9A"/>
    <w:rsid w:val="00BC3C0B"/>
    <w:rsid w:val="00BD0BB7"/>
    <w:rsid w:val="00BD55A5"/>
    <w:rsid w:val="00BD7A5B"/>
    <w:rsid w:val="00BE1003"/>
    <w:rsid w:val="00BE4690"/>
    <w:rsid w:val="00BF69BD"/>
    <w:rsid w:val="00C00DB5"/>
    <w:rsid w:val="00C07FC9"/>
    <w:rsid w:val="00C10473"/>
    <w:rsid w:val="00C10A4F"/>
    <w:rsid w:val="00C141D1"/>
    <w:rsid w:val="00C15C47"/>
    <w:rsid w:val="00C16395"/>
    <w:rsid w:val="00C17720"/>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84F15"/>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5FD7"/>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207"/>
    <w:rsid w:val="00D664ED"/>
    <w:rsid w:val="00D71406"/>
    <w:rsid w:val="00D80D0A"/>
    <w:rsid w:val="00D81B5E"/>
    <w:rsid w:val="00D867B9"/>
    <w:rsid w:val="00D920B6"/>
    <w:rsid w:val="00D925FC"/>
    <w:rsid w:val="00D943C0"/>
    <w:rsid w:val="00D9517E"/>
    <w:rsid w:val="00DA3ECA"/>
    <w:rsid w:val="00DA6A65"/>
    <w:rsid w:val="00DA6F52"/>
    <w:rsid w:val="00DA7083"/>
    <w:rsid w:val="00DB3295"/>
    <w:rsid w:val="00DB3D23"/>
    <w:rsid w:val="00DB5E85"/>
    <w:rsid w:val="00DC1257"/>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599A"/>
    <w:rsid w:val="00E0642E"/>
    <w:rsid w:val="00E07E2D"/>
    <w:rsid w:val="00E13235"/>
    <w:rsid w:val="00E13D4D"/>
    <w:rsid w:val="00E204EB"/>
    <w:rsid w:val="00E24664"/>
    <w:rsid w:val="00E329DE"/>
    <w:rsid w:val="00E338D2"/>
    <w:rsid w:val="00E34BEA"/>
    <w:rsid w:val="00E374D0"/>
    <w:rsid w:val="00E44466"/>
    <w:rsid w:val="00E44E2C"/>
    <w:rsid w:val="00E47CF4"/>
    <w:rsid w:val="00E51B09"/>
    <w:rsid w:val="00E5349E"/>
    <w:rsid w:val="00E53E29"/>
    <w:rsid w:val="00E54A0D"/>
    <w:rsid w:val="00E562BC"/>
    <w:rsid w:val="00E56F82"/>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7EB5"/>
    <w:rsid w:val="00FE0CD3"/>
    <w:rsid w:val="00FE7BD0"/>
    <w:rsid w:val="00FE7FFE"/>
    <w:rsid w:val="00FF0C13"/>
    <w:rsid w:val="00FF3F00"/>
    <w:rsid w:val="00FF3FB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45"/>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dforkids.nsw.gov.au/media/2970/snippet-4-responding-to-cues-not-pressuring-to-eat-pdf.pdf" TargetMode="External"/><Relationship Id="rId17" Type="http://schemas.openxmlformats.org/officeDocument/2006/relationships/hyperlink" Target="https://www.strong4life.com/en/feeding-and-nutrition/hunger-and-fullness-cues/5-signs-your-toddler-is-hungry" TargetMode="External"/><Relationship Id="rId2" Type="http://schemas.openxmlformats.org/officeDocument/2006/relationships/customXml" Target="../customXml/item2.xml"/><Relationship Id="rId16" Type="http://schemas.openxmlformats.org/officeDocument/2006/relationships/hyperlink" Target="https://indd.adobe.com/view/2b0a0f29-1396-461f-8185-2e098849b6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2971/snippet-4-responding-to-cues-not-pressuring-to-eat-word-doc.doc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91CA1-56CC-42EE-B33E-CF39F717C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3.xml><?xml version="1.0" encoding="utf-8"?>
<ds:datastoreItem xmlns:ds="http://schemas.openxmlformats.org/officeDocument/2006/customXml" ds:itemID="{C15BBD52-D93C-4068-A76E-FAE0DB26C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114</cp:revision>
  <dcterms:created xsi:type="dcterms:W3CDTF">2024-07-15T07:40:00Z</dcterms:created>
  <dcterms:modified xsi:type="dcterms:W3CDTF">2024-08-16T02:03:00Z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